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C51CC">
      <w:pPr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附件1</w:t>
      </w:r>
    </w:p>
    <w:p w14:paraId="23E6840C">
      <w:pPr>
        <w:jc w:val="center"/>
        <w:rPr>
          <w:rFonts w:ascii="Times New Roman" w:hAnsi="Times New Roman" w:eastAsia="Helvetica"/>
          <w:b/>
          <w:bCs/>
          <w:szCs w:val="21"/>
          <w:shd w:val="clear" w:color="auto" w:fill="FFFFFF"/>
        </w:rPr>
      </w:pPr>
      <w:r>
        <w:rPr>
          <w:rFonts w:hint="eastAsia" w:ascii="Times New Roman" w:hAnsi="Times New Roman" w:eastAsia="方正小标宋简体"/>
          <w:bCs/>
          <w:sz w:val="36"/>
          <w:szCs w:val="36"/>
        </w:rPr>
        <w:t>四川德发工程咨询有限公司工程咨询专家</w:t>
      </w:r>
      <w:bookmarkStart w:id="0" w:name="_GoBack"/>
      <w:bookmarkEnd w:id="0"/>
      <w:r>
        <w:rPr>
          <w:rFonts w:ascii="Times New Roman" w:hAnsi="Times New Roman" w:eastAsia="方正小标宋简体"/>
          <w:bCs/>
          <w:sz w:val="36"/>
          <w:szCs w:val="36"/>
        </w:rPr>
        <w:t>专业分类表</w:t>
      </w:r>
    </w:p>
    <w:tbl>
      <w:tblPr>
        <w:tblStyle w:val="4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3085"/>
        <w:gridCol w:w="2774"/>
      </w:tblGrid>
      <w:tr w14:paraId="15791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tblHeader/>
        </w:trPr>
        <w:tc>
          <w:tcPr>
            <w:tcW w:w="1562" w:type="pct"/>
            <w:noWrap/>
            <w:vAlign w:val="center"/>
          </w:tcPr>
          <w:p w14:paraId="59931ED6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申报方向</w:t>
            </w:r>
          </w:p>
        </w:tc>
        <w:tc>
          <w:tcPr>
            <w:tcW w:w="1810" w:type="pct"/>
            <w:noWrap/>
            <w:vAlign w:val="center"/>
          </w:tcPr>
          <w:p w14:paraId="5EDB8FD0">
            <w:pPr>
              <w:jc w:val="center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专业</w:t>
            </w:r>
          </w:p>
        </w:tc>
        <w:tc>
          <w:tcPr>
            <w:tcW w:w="1627" w:type="pct"/>
            <w:noWrap/>
            <w:vAlign w:val="center"/>
          </w:tcPr>
          <w:p w14:paraId="7D97A435">
            <w:pPr>
              <w:jc w:val="center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细分专业</w:t>
            </w:r>
          </w:p>
        </w:tc>
      </w:tr>
      <w:tr w14:paraId="5F787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restart"/>
            <w:noWrap/>
            <w:vAlign w:val="center"/>
          </w:tcPr>
          <w:p w14:paraId="342B64EA">
            <w:pPr>
              <w:jc w:val="center"/>
              <w:rPr>
                <w:rFonts w:ascii="Times New Roman" w:hAnsi="Times New Roman"/>
                <w:b/>
              </w:rPr>
            </w:pPr>
          </w:p>
          <w:p w14:paraId="01BBE904">
            <w:pPr>
              <w:jc w:val="center"/>
              <w:rPr>
                <w:rFonts w:ascii="Times New Roman" w:hAnsi="Times New Roman"/>
                <w:b/>
              </w:rPr>
            </w:pPr>
          </w:p>
          <w:p w14:paraId="7786D690">
            <w:pPr>
              <w:jc w:val="center"/>
              <w:rPr>
                <w:rFonts w:ascii="Times New Roman" w:hAnsi="Times New Roman"/>
                <w:b/>
              </w:rPr>
            </w:pPr>
          </w:p>
          <w:p w14:paraId="564E3CA5">
            <w:pPr>
              <w:jc w:val="center"/>
              <w:rPr>
                <w:rFonts w:ascii="Times New Roman" w:hAnsi="Times New Roman"/>
                <w:b/>
              </w:rPr>
            </w:pPr>
          </w:p>
          <w:p w14:paraId="7E211AD9">
            <w:pPr>
              <w:jc w:val="center"/>
              <w:rPr>
                <w:rFonts w:ascii="Times New Roman" w:hAnsi="Times New Roman"/>
                <w:b/>
              </w:rPr>
            </w:pPr>
          </w:p>
          <w:p w14:paraId="520D9F35">
            <w:pPr>
              <w:jc w:val="center"/>
              <w:rPr>
                <w:rFonts w:ascii="Times New Roman" w:hAnsi="Times New Roman"/>
                <w:b/>
              </w:rPr>
            </w:pPr>
          </w:p>
          <w:p w14:paraId="31748CAD">
            <w:pPr>
              <w:jc w:val="center"/>
              <w:rPr>
                <w:rFonts w:ascii="Times New Roman" w:hAnsi="Times New Roman"/>
                <w:b/>
              </w:rPr>
            </w:pPr>
          </w:p>
          <w:p w14:paraId="70BF3292">
            <w:pPr>
              <w:jc w:val="center"/>
              <w:rPr>
                <w:rFonts w:ascii="Times New Roman" w:hAnsi="Times New Roman"/>
                <w:b/>
              </w:rPr>
            </w:pPr>
          </w:p>
          <w:p w14:paraId="20B9E7CC">
            <w:pPr>
              <w:jc w:val="center"/>
              <w:rPr>
                <w:rFonts w:ascii="Times New Roman" w:hAnsi="Times New Roman"/>
                <w:b/>
              </w:rPr>
            </w:pPr>
          </w:p>
          <w:p w14:paraId="0F01290D">
            <w:pPr>
              <w:jc w:val="center"/>
              <w:rPr>
                <w:rFonts w:ascii="Times New Roman" w:hAnsi="Times New Roman"/>
                <w:b/>
              </w:rPr>
            </w:pPr>
          </w:p>
          <w:p w14:paraId="10F4B0DA">
            <w:pPr>
              <w:jc w:val="center"/>
              <w:rPr>
                <w:rFonts w:ascii="Times New Roman" w:hAnsi="Times New Roman"/>
                <w:b/>
              </w:rPr>
            </w:pPr>
          </w:p>
          <w:p w14:paraId="4A8F0AC3">
            <w:pPr>
              <w:jc w:val="center"/>
              <w:rPr>
                <w:rFonts w:ascii="Times New Roman" w:hAnsi="Times New Roman"/>
                <w:b/>
              </w:rPr>
            </w:pPr>
          </w:p>
          <w:p w14:paraId="6FE9B2CA">
            <w:pPr>
              <w:jc w:val="center"/>
              <w:rPr>
                <w:rFonts w:ascii="Times New Roman" w:hAnsi="Times New Roman"/>
                <w:b/>
              </w:rPr>
            </w:pPr>
          </w:p>
          <w:p w14:paraId="1718620B">
            <w:pPr>
              <w:jc w:val="center"/>
              <w:rPr>
                <w:rFonts w:ascii="Times New Roman" w:hAnsi="Times New Roman"/>
                <w:b/>
              </w:rPr>
            </w:pPr>
          </w:p>
          <w:p w14:paraId="39E4E67E">
            <w:pPr>
              <w:jc w:val="center"/>
              <w:rPr>
                <w:rFonts w:ascii="Times New Roman" w:hAnsi="Times New Roman"/>
                <w:b/>
              </w:rPr>
            </w:pPr>
          </w:p>
          <w:p w14:paraId="6BB61FA1">
            <w:pPr>
              <w:jc w:val="center"/>
              <w:rPr>
                <w:rFonts w:ascii="Times New Roman" w:hAnsi="Times New Roman"/>
                <w:b/>
              </w:rPr>
            </w:pPr>
          </w:p>
          <w:p w14:paraId="4296F9EC">
            <w:pPr>
              <w:jc w:val="center"/>
              <w:rPr>
                <w:rFonts w:ascii="Times New Roman" w:hAnsi="Times New Roman"/>
                <w:b/>
              </w:rPr>
            </w:pPr>
          </w:p>
          <w:p w14:paraId="0F5D3859">
            <w:pPr>
              <w:jc w:val="center"/>
              <w:rPr>
                <w:rFonts w:ascii="Times New Roman" w:hAnsi="Times New Roman"/>
                <w:b/>
              </w:rPr>
            </w:pPr>
          </w:p>
          <w:p w14:paraId="3A2B93BA">
            <w:pPr>
              <w:jc w:val="center"/>
              <w:rPr>
                <w:rFonts w:ascii="Times New Roman" w:hAnsi="Times New Roman"/>
                <w:b/>
              </w:rPr>
            </w:pPr>
          </w:p>
          <w:p w14:paraId="70227B51">
            <w:pPr>
              <w:jc w:val="center"/>
              <w:rPr>
                <w:rFonts w:ascii="Times New Roman" w:hAnsi="Times New Roman"/>
                <w:b/>
              </w:rPr>
            </w:pPr>
          </w:p>
          <w:p w14:paraId="10E5B4A6">
            <w:pPr>
              <w:jc w:val="center"/>
              <w:rPr>
                <w:rFonts w:ascii="Times New Roman" w:hAnsi="Times New Roman"/>
                <w:b/>
              </w:rPr>
            </w:pPr>
          </w:p>
          <w:p w14:paraId="7E429EA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工程建设项目评审、谋划、培训、运营监管及投后评价咨询专家</w:t>
            </w:r>
          </w:p>
          <w:p w14:paraId="111BBDF1">
            <w:pPr>
              <w:jc w:val="center"/>
              <w:rPr>
                <w:rFonts w:ascii="Times New Roman" w:hAnsi="Times New Roman"/>
                <w:b/>
              </w:rPr>
            </w:pPr>
          </w:p>
          <w:p w14:paraId="3A09D7E8">
            <w:pPr>
              <w:jc w:val="center"/>
              <w:rPr>
                <w:rFonts w:ascii="Times New Roman" w:hAnsi="Times New Roman"/>
                <w:b/>
              </w:rPr>
            </w:pPr>
          </w:p>
          <w:p w14:paraId="79ED8107">
            <w:pPr>
              <w:jc w:val="center"/>
              <w:rPr>
                <w:rFonts w:ascii="Times New Roman" w:hAnsi="Times New Roman"/>
                <w:b/>
              </w:rPr>
            </w:pPr>
          </w:p>
          <w:p w14:paraId="433CC46C">
            <w:pPr>
              <w:jc w:val="center"/>
              <w:rPr>
                <w:rFonts w:ascii="Times New Roman" w:hAnsi="Times New Roman"/>
                <w:b/>
              </w:rPr>
            </w:pPr>
          </w:p>
          <w:p w14:paraId="463BBF70">
            <w:pPr>
              <w:jc w:val="center"/>
              <w:rPr>
                <w:rFonts w:ascii="Times New Roman" w:hAnsi="Times New Roman"/>
                <w:b/>
              </w:rPr>
            </w:pPr>
          </w:p>
          <w:p w14:paraId="5B3B64C5">
            <w:pPr>
              <w:jc w:val="center"/>
              <w:rPr>
                <w:rFonts w:ascii="Times New Roman" w:hAnsi="Times New Roman"/>
                <w:b/>
              </w:rPr>
            </w:pPr>
          </w:p>
          <w:p w14:paraId="5637BC91">
            <w:pPr>
              <w:jc w:val="center"/>
              <w:rPr>
                <w:rFonts w:ascii="Times New Roman" w:hAnsi="Times New Roman"/>
                <w:b/>
              </w:rPr>
            </w:pPr>
          </w:p>
          <w:p w14:paraId="33D033D3">
            <w:pPr>
              <w:jc w:val="center"/>
              <w:rPr>
                <w:rFonts w:ascii="Times New Roman" w:hAnsi="Times New Roman"/>
                <w:b/>
              </w:rPr>
            </w:pPr>
          </w:p>
          <w:p w14:paraId="659A7D18">
            <w:pPr>
              <w:jc w:val="center"/>
              <w:rPr>
                <w:rFonts w:ascii="Times New Roman" w:hAnsi="Times New Roman"/>
                <w:b/>
              </w:rPr>
            </w:pPr>
          </w:p>
          <w:p w14:paraId="728AC2B2">
            <w:pPr>
              <w:jc w:val="center"/>
              <w:rPr>
                <w:rFonts w:ascii="Times New Roman" w:hAnsi="Times New Roman"/>
                <w:b/>
              </w:rPr>
            </w:pPr>
          </w:p>
          <w:p w14:paraId="15383E2C">
            <w:pPr>
              <w:jc w:val="center"/>
              <w:rPr>
                <w:rFonts w:ascii="Times New Roman" w:hAnsi="Times New Roman"/>
                <w:b/>
              </w:rPr>
            </w:pPr>
          </w:p>
          <w:p w14:paraId="266D68F0">
            <w:pPr>
              <w:jc w:val="center"/>
              <w:rPr>
                <w:rFonts w:ascii="Times New Roman" w:hAnsi="Times New Roman"/>
                <w:b/>
              </w:rPr>
            </w:pPr>
          </w:p>
          <w:p w14:paraId="4FC300FA">
            <w:pPr>
              <w:jc w:val="center"/>
              <w:rPr>
                <w:rFonts w:ascii="Times New Roman" w:hAnsi="Times New Roman"/>
                <w:b/>
              </w:rPr>
            </w:pPr>
          </w:p>
          <w:p w14:paraId="2CAFA8E0">
            <w:pPr>
              <w:jc w:val="center"/>
              <w:rPr>
                <w:rFonts w:ascii="Times New Roman" w:hAnsi="Times New Roman"/>
                <w:b/>
              </w:rPr>
            </w:pPr>
          </w:p>
          <w:p w14:paraId="5CB21763">
            <w:pPr>
              <w:jc w:val="center"/>
              <w:rPr>
                <w:rFonts w:ascii="Times New Roman" w:hAnsi="Times New Roman"/>
                <w:b/>
              </w:rPr>
            </w:pPr>
          </w:p>
          <w:p w14:paraId="66BFA428">
            <w:pPr>
              <w:jc w:val="center"/>
              <w:rPr>
                <w:rFonts w:ascii="Times New Roman" w:hAnsi="Times New Roman"/>
                <w:b/>
              </w:rPr>
            </w:pPr>
          </w:p>
          <w:p w14:paraId="097D28D8">
            <w:pPr>
              <w:jc w:val="center"/>
              <w:rPr>
                <w:rFonts w:ascii="Times New Roman" w:hAnsi="Times New Roman"/>
                <w:b/>
              </w:rPr>
            </w:pPr>
          </w:p>
          <w:p w14:paraId="1D5ED5B0">
            <w:pPr>
              <w:jc w:val="center"/>
              <w:rPr>
                <w:rFonts w:ascii="Times New Roman" w:hAnsi="Times New Roman"/>
                <w:b/>
              </w:rPr>
            </w:pPr>
          </w:p>
          <w:p w14:paraId="255475CB">
            <w:pPr>
              <w:jc w:val="center"/>
              <w:rPr>
                <w:rFonts w:ascii="Times New Roman" w:hAnsi="Times New Roman"/>
                <w:b/>
              </w:rPr>
            </w:pPr>
          </w:p>
          <w:p w14:paraId="486766C0">
            <w:pPr>
              <w:jc w:val="center"/>
              <w:rPr>
                <w:rFonts w:ascii="Times New Roman" w:hAnsi="Times New Roman"/>
                <w:b/>
              </w:rPr>
            </w:pPr>
          </w:p>
          <w:p w14:paraId="317E2276">
            <w:pPr>
              <w:jc w:val="center"/>
              <w:rPr>
                <w:rFonts w:ascii="Times New Roman" w:hAnsi="Times New Roman"/>
                <w:b/>
              </w:rPr>
            </w:pPr>
          </w:p>
          <w:p w14:paraId="1A5EFF5A">
            <w:pPr>
              <w:jc w:val="center"/>
              <w:rPr>
                <w:rFonts w:ascii="Times New Roman" w:hAnsi="Times New Roman"/>
                <w:b/>
              </w:rPr>
            </w:pPr>
          </w:p>
          <w:p w14:paraId="05F16CE8">
            <w:pPr>
              <w:jc w:val="center"/>
              <w:rPr>
                <w:rFonts w:ascii="Times New Roman" w:hAnsi="Times New Roman"/>
                <w:b/>
              </w:rPr>
            </w:pPr>
          </w:p>
          <w:p w14:paraId="00765BAB">
            <w:pPr>
              <w:jc w:val="center"/>
              <w:rPr>
                <w:rFonts w:ascii="Times New Roman" w:hAnsi="Times New Roman"/>
                <w:b/>
              </w:rPr>
            </w:pPr>
          </w:p>
          <w:p w14:paraId="64C801D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工程建设项目评审、谋划、培训、运营监管及投后评价咨询专家</w:t>
            </w:r>
          </w:p>
          <w:p w14:paraId="79CFE331">
            <w:pPr>
              <w:jc w:val="center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48AAEC27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经济</w:t>
            </w:r>
          </w:p>
        </w:tc>
        <w:tc>
          <w:tcPr>
            <w:tcW w:w="1627" w:type="pct"/>
            <w:noWrap/>
            <w:vAlign w:val="center"/>
          </w:tcPr>
          <w:p w14:paraId="4008DF8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0101-规划</w:t>
            </w:r>
          </w:p>
        </w:tc>
      </w:tr>
      <w:tr w14:paraId="655E2B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1F51BBF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5A904BE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B39938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0102-投融资</w:t>
            </w:r>
          </w:p>
        </w:tc>
      </w:tr>
      <w:tr w14:paraId="27F17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391DAA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7E20D68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631150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0103-政府与社会资本合作（PPP新机制）</w:t>
            </w:r>
          </w:p>
        </w:tc>
      </w:tr>
      <w:tr w14:paraId="26DF7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4F05BA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7515173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207004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0104-财务</w:t>
            </w:r>
          </w:p>
        </w:tc>
      </w:tr>
      <w:tr w14:paraId="115C8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C1AD96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8FF5D0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13A0B7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0105-工程管理（工程咨询）</w:t>
            </w:r>
          </w:p>
        </w:tc>
      </w:tr>
      <w:tr w14:paraId="637BD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33C4FB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1CDA9CC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02建筑工程</w:t>
            </w:r>
          </w:p>
        </w:tc>
        <w:tc>
          <w:tcPr>
            <w:tcW w:w="1627" w:type="pct"/>
            <w:noWrap/>
            <w:vAlign w:val="center"/>
          </w:tcPr>
          <w:p w14:paraId="61E85CF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0201-建筑</w:t>
            </w:r>
          </w:p>
        </w:tc>
      </w:tr>
      <w:tr w14:paraId="48992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D6B366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6926BE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0F6C2A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0202-结构</w:t>
            </w:r>
          </w:p>
        </w:tc>
      </w:tr>
      <w:tr w14:paraId="3D08E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5A33B7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1973495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9629DF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0203-给排水</w:t>
            </w:r>
          </w:p>
        </w:tc>
      </w:tr>
      <w:tr w14:paraId="327C4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E522A5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292967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5DE5C3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0204-通风空调</w:t>
            </w:r>
          </w:p>
        </w:tc>
      </w:tr>
      <w:tr w14:paraId="0E0E4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5802A80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5097010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676E724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0205-电气、通信及弱电</w:t>
            </w:r>
          </w:p>
        </w:tc>
      </w:tr>
      <w:tr w14:paraId="49F46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A41C35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3A0D9F5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03市政公用工程</w:t>
            </w:r>
          </w:p>
        </w:tc>
        <w:tc>
          <w:tcPr>
            <w:tcW w:w="1627" w:type="pct"/>
            <w:noWrap/>
            <w:vAlign w:val="center"/>
          </w:tcPr>
          <w:p w14:paraId="07CD84D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0301-城市道路、桥梁、隧道</w:t>
            </w:r>
          </w:p>
        </w:tc>
      </w:tr>
      <w:tr w14:paraId="49D6F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727BC0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B2F12A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15987F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0302-给排水</w:t>
            </w:r>
          </w:p>
        </w:tc>
      </w:tr>
      <w:tr w14:paraId="4B57E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589818B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B1FC0B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6B8F572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0303-城市燃气</w:t>
            </w:r>
          </w:p>
        </w:tc>
      </w:tr>
      <w:tr w14:paraId="29F4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490404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41DA44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C98D99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0304-电气</w:t>
            </w:r>
          </w:p>
        </w:tc>
      </w:tr>
      <w:tr w14:paraId="3FA64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50684A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AD9099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71EAE5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0305-园林绿化</w:t>
            </w:r>
          </w:p>
        </w:tc>
      </w:tr>
      <w:tr w14:paraId="0827C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5F34BD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25AE1A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A8660B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0306-污水处理</w:t>
            </w:r>
          </w:p>
        </w:tc>
      </w:tr>
      <w:tr w14:paraId="249B5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0D445A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C67A97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A8ED77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0307-垃圾处理</w:t>
            </w:r>
          </w:p>
        </w:tc>
      </w:tr>
      <w:tr w14:paraId="62CA7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72EF96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49D1137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04水利水电</w:t>
            </w:r>
          </w:p>
        </w:tc>
        <w:tc>
          <w:tcPr>
            <w:tcW w:w="1627" w:type="pct"/>
            <w:noWrap/>
            <w:vAlign w:val="center"/>
          </w:tcPr>
          <w:p w14:paraId="4A1FCB0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0401-水文泥沙</w:t>
            </w:r>
          </w:p>
        </w:tc>
      </w:tr>
      <w:tr w14:paraId="1A530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469253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5616EFC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613087C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0402-水工建筑</w:t>
            </w:r>
          </w:p>
        </w:tc>
      </w:tr>
      <w:tr w14:paraId="4D7C4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26C34F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30543B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FE3165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0403-电气</w:t>
            </w:r>
          </w:p>
        </w:tc>
      </w:tr>
      <w:tr w14:paraId="6A890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11F0BE8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D67D3C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C60EF9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0404-机械及金属结构</w:t>
            </w:r>
          </w:p>
        </w:tc>
      </w:tr>
      <w:tr w14:paraId="7D606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FBE30E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49214DE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05生态建设与环境工程</w:t>
            </w:r>
          </w:p>
        </w:tc>
        <w:tc>
          <w:tcPr>
            <w:tcW w:w="1627" w:type="pct"/>
            <w:noWrap/>
            <w:vAlign w:val="center"/>
          </w:tcPr>
          <w:p w14:paraId="597F94C7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0501-生态保护与修复</w:t>
            </w:r>
          </w:p>
        </w:tc>
      </w:tr>
      <w:tr w14:paraId="0751C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B4EA16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1DA6F6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26AF84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0502-噪音振动污染控制</w:t>
            </w:r>
          </w:p>
        </w:tc>
      </w:tr>
      <w:tr w14:paraId="7D55E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43C35F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2751C7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D2BDAA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0503-医疗和危险物污染控制</w:t>
            </w:r>
          </w:p>
        </w:tc>
      </w:tr>
      <w:tr w14:paraId="686C8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39DAC32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1AF2E6A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9C5A80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0504-固体废物污染控制</w:t>
            </w:r>
          </w:p>
        </w:tc>
      </w:tr>
      <w:tr w14:paraId="1D8C8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1053AB1C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7EE12F2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6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电力</w:t>
            </w:r>
          </w:p>
        </w:tc>
        <w:tc>
          <w:tcPr>
            <w:tcW w:w="1627" w:type="pct"/>
            <w:noWrap/>
            <w:vAlign w:val="center"/>
          </w:tcPr>
          <w:p w14:paraId="2289EA7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6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01-动力</w:t>
            </w:r>
          </w:p>
        </w:tc>
      </w:tr>
      <w:tr w14:paraId="186BA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9B586C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CA97C6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3CD81CC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0602-电力系统</w:t>
            </w:r>
          </w:p>
        </w:tc>
      </w:tr>
      <w:tr w14:paraId="228B0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41301A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030A895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220524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0603-输变电</w:t>
            </w:r>
          </w:p>
        </w:tc>
      </w:tr>
      <w:tr w14:paraId="0FC59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38DAD07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6D2CBDC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7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农业、林业</w:t>
            </w:r>
          </w:p>
        </w:tc>
        <w:tc>
          <w:tcPr>
            <w:tcW w:w="1627" w:type="pct"/>
            <w:noWrap/>
            <w:vAlign w:val="center"/>
          </w:tcPr>
          <w:p w14:paraId="0949F93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0701-林业</w:t>
            </w:r>
          </w:p>
        </w:tc>
      </w:tr>
      <w:tr w14:paraId="55C63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05EB33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03E45C3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603D37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0702-农业</w:t>
            </w:r>
          </w:p>
        </w:tc>
      </w:tr>
      <w:tr w14:paraId="37A1A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04C51E2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2A339B6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8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节能工程</w:t>
            </w:r>
          </w:p>
        </w:tc>
        <w:tc>
          <w:tcPr>
            <w:tcW w:w="1627" w:type="pct"/>
            <w:noWrap/>
            <w:vAlign w:val="center"/>
          </w:tcPr>
          <w:p w14:paraId="3FA07EE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0801-锅炉（窑炉）改造</w:t>
            </w:r>
          </w:p>
        </w:tc>
      </w:tr>
      <w:tr w14:paraId="67D0D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5483AD6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1B4AB2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114EE00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0802-区域热电联产</w:t>
            </w:r>
          </w:p>
        </w:tc>
      </w:tr>
      <w:tr w14:paraId="50604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04C621B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30AB597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89CA42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0803-余热余压利用</w:t>
            </w:r>
          </w:p>
        </w:tc>
      </w:tr>
      <w:tr w14:paraId="72664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3E16527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3DF6D3F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20C28A8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0804-电机系统节能</w:t>
            </w:r>
          </w:p>
        </w:tc>
      </w:tr>
      <w:tr w14:paraId="5862E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  <w:vAlign w:val="center"/>
          </w:tcPr>
          <w:p w14:paraId="453928CC">
            <w:pPr>
              <w:jc w:val="center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1D19ADA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8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节能工程</w:t>
            </w:r>
          </w:p>
        </w:tc>
        <w:tc>
          <w:tcPr>
            <w:tcW w:w="1627" w:type="pct"/>
            <w:noWrap/>
            <w:vAlign w:val="center"/>
          </w:tcPr>
          <w:p w14:paraId="7A69D89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0805-能源管控一体化</w:t>
            </w:r>
          </w:p>
        </w:tc>
      </w:tr>
      <w:tr w14:paraId="60164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C12481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3CD08A6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58DFEC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0806-燃气蒸汽联合循环</w:t>
            </w:r>
          </w:p>
        </w:tc>
      </w:tr>
      <w:tr w14:paraId="02B86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2A8CB5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6DFB9A4A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09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工程造价</w:t>
            </w:r>
          </w:p>
        </w:tc>
        <w:tc>
          <w:tcPr>
            <w:tcW w:w="1627" w:type="pct"/>
            <w:noWrap/>
            <w:vAlign w:val="center"/>
          </w:tcPr>
          <w:p w14:paraId="2315360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0901-土木建筑</w:t>
            </w:r>
          </w:p>
        </w:tc>
      </w:tr>
      <w:tr w14:paraId="7A44E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552C1BC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50EF24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10BB115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0902-安装</w:t>
            </w:r>
          </w:p>
        </w:tc>
      </w:tr>
      <w:tr w14:paraId="581C5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1C4706E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3668C24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72DB31BC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0903-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交通运输（公路）</w:t>
            </w:r>
          </w:p>
        </w:tc>
      </w:tr>
      <w:tr w14:paraId="5BB9D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5635D61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5769CF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DA77C8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0904-水利</w:t>
            </w:r>
          </w:p>
        </w:tc>
      </w:tr>
      <w:tr w14:paraId="6E7DC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6F7E3A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5C40BF0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DCA1E22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090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</w:rPr>
              <w:t>5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-轨道交通</w:t>
            </w:r>
          </w:p>
        </w:tc>
      </w:tr>
      <w:tr w14:paraId="17D7B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662BA28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5BD2424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10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社会事业</w:t>
            </w:r>
          </w:p>
        </w:tc>
        <w:tc>
          <w:tcPr>
            <w:tcW w:w="1627" w:type="pct"/>
            <w:noWrap/>
            <w:vAlign w:val="center"/>
          </w:tcPr>
          <w:p w14:paraId="3387C04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1001-文化教育</w:t>
            </w:r>
          </w:p>
        </w:tc>
      </w:tr>
      <w:tr w14:paraId="26877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8D9DD9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91091BD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62C8B08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1002-医疗卫生</w:t>
            </w:r>
          </w:p>
        </w:tc>
      </w:tr>
      <w:tr w14:paraId="787CC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0425830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5AE195B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A24F7D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1003-法律</w:t>
            </w:r>
          </w:p>
        </w:tc>
      </w:tr>
      <w:tr w14:paraId="00F84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6FC6AB7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1873AD6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其他</w:t>
            </w:r>
          </w:p>
        </w:tc>
        <w:tc>
          <w:tcPr>
            <w:tcW w:w="1627" w:type="pct"/>
            <w:noWrap/>
            <w:vAlign w:val="center"/>
          </w:tcPr>
          <w:p w14:paraId="1A03E94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1101-古建筑修缮与保护</w:t>
            </w:r>
          </w:p>
        </w:tc>
      </w:tr>
      <w:tr w14:paraId="10FB6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71F7ACC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4EED654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64556B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1102-文物保护</w:t>
            </w:r>
          </w:p>
        </w:tc>
      </w:tr>
      <w:tr w14:paraId="24629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479634A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8D9B40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1B33480E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1103-展陈</w:t>
            </w:r>
          </w:p>
        </w:tc>
      </w:tr>
      <w:tr w14:paraId="787CE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397837C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75295330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D5D6E2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1104-地震（含地质灾害防治）</w:t>
            </w:r>
          </w:p>
        </w:tc>
      </w:tr>
      <w:tr w14:paraId="0D3D7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0A64E3D5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7CD9EF0F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AB1CC21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1105-气象</w:t>
            </w:r>
          </w:p>
        </w:tc>
      </w:tr>
      <w:tr w14:paraId="1C7CB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  <w:vAlign w:val="center"/>
          </w:tcPr>
          <w:p w14:paraId="66600D88">
            <w:pPr>
              <w:jc w:val="center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restart"/>
            <w:noWrap/>
            <w:vAlign w:val="center"/>
          </w:tcPr>
          <w:p w14:paraId="29A154B6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hint="eastAsia" w:ascii="Times New Roman" w:hAnsi="Times New Roman" w:eastAsia="Helvetica"/>
                <w:b/>
                <w:bCs/>
                <w:szCs w:val="21"/>
                <w:shd w:val="clear" w:color="auto" w:fill="FFFFFF"/>
              </w:rPr>
              <w:t>运营监管及后评价</w:t>
            </w:r>
          </w:p>
        </w:tc>
        <w:tc>
          <w:tcPr>
            <w:tcW w:w="1627" w:type="pct"/>
            <w:noWrap/>
            <w:vAlign w:val="center"/>
          </w:tcPr>
          <w:p w14:paraId="77F76EA4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01-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</w:rPr>
              <w:t>投融资</w:t>
            </w:r>
          </w:p>
        </w:tc>
      </w:tr>
      <w:tr w14:paraId="5A038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26B95C8B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21F7AFE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57932746">
            <w:pPr>
              <w:jc w:val="left"/>
              <w:rPr>
                <w:rFonts w:hint="eastAsia" w:ascii="Times New Roman" w:hAnsi="Times New Roman" w:eastAsia="宋体"/>
                <w:b/>
                <w:bCs/>
                <w:szCs w:val="21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1202-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  <w:lang w:val="en-US" w:eastAsia="zh-CN"/>
              </w:rPr>
              <w:t>工程技术</w:t>
            </w:r>
          </w:p>
        </w:tc>
      </w:tr>
      <w:tr w14:paraId="0FF1E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62" w:type="pct"/>
            <w:vMerge w:val="continue"/>
            <w:noWrap/>
          </w:tcPr>
          <w:p w14:paraId="1B78F36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66A3C93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4A5F895F">
            <w:pPr>
              <w:jc w:val="left"/>
              <w:rPr>
                <w:rFonts w:hint="default" w:ascii="Times New Roman" w:hAnsi="Times New Roman" w:eastAsia="宋体"/>
                <w:b/>
                <w:bCs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1203-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  <w:lang w:val="en-US" w:eastAsia="zh-CN"/>
              </w:rPr>
              <w:t>财务审计</w:t>
            </w:r>
          </w:p>
        </w:tc>
      </w:tr>
      <w:tr w14:paraId="546A0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562" w:type="pct"/>
            <w:vMerge w:val="continue"/>
            <w:noWrap/>
          </w:tcPr>
          <w:p w14:paraId="61DECE6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0B082804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2351AF3D">
            <w:pPr>
              <w:jc w:val="left"/>
              <w:rPr>
                <w:rFonts w:hint="eastAsia" w:ascii="Times New Roman" w:hAnsi="Times New Roman" w:eastAsia="宋体"/>
                <w:b/>
                <w:bCs/>
                <w:szCs w:val="21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0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</w:rPr>
              <w:t>4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  <w:lang w:val="en-US" w:eastAsia="zh-CN"/>
              </w:rPr>
              <w:t>项目管理（工程咨询）</w:t>
            </w:r>
          </w:p>
        </w:tc>
      </w:tr>
      <w:tr w14:paraId="69A83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62" w:type="pct"/>
            <w:vMerge w:val="continue"/>
            <w:noWrap/>
          </w:tcPr>
          <w:p w14:paraId="1F227CD9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810" w:type="pct"/>
            <w:vMerge w:val="continue"/>
            <w:noWrap/>
            <w:vAlign w:val="center"/>
          </w:tcPr>
          <w:p w14:paraId="6F237E66">
            <w:pPr>
              <w:jc w:val="left"/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</w:pPr>
          </w:p>
        </w:tc>
        <w:tc>
          <w:tcPr>
            <w:tcW w:w="1627" w:type="pct"/>
            <w:noWrap/>
            <w:vAlign w:val="center"/>
          </w:tcPr>
          <w:p w14:paraId="07D5A1B8">
            <w:pPr>
              <w:jc w:val="left"/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120</w:t>
            </w:r>
            <w:r>
              <w:rPr>
                <w:rFonts w:hint="eastAsia" w:ascii="Times New Roman" w:hAnsi="Times New Roman"/>
                <w:b/>
                <w:bCs/>
                <w:szCs w:val="21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b/>
                <w:bCs/>
                <w:szCs w:val="21"/>
                <w:shd w:val="clear" w:color="auto" w:fill="FFFFFF"/>
              </w:rPr>
              <w:t>-</w:t>
            </w:r>
            <w:r>
              <w:rPr>
                <w:rFonts w:ascii="Times New Roman" w:hAnsi="Times New Roman" w:eastAsia="Helvetica"/>
                <w:b/>
                <w:bCs/>
                <w:szCs w:val="21"/>
                <w:shd w:val="clear" w:color="auto" w:fill="FFFFFF"/>
              </w:rPr>
              <w:t>政府与社会资本合作（PPP新机制）</w:t>
            </w:r>
          </w:p>
        </w:tc>
      </w:tr>
    </w:tbl>
    <w:p w14:paraId="163397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7CBE"/>
    <w:rsid w:val="001D7CBE"/>
    <w:rsid w:val="002949BB"/>
    <w:rsid w:val="00750ECE"/>
    <w:rsid w:val="00996C43"/>
    <w:rsid w:val="00A62EC1"/>
    <w:rsid w:val="00BF2B96"/>
    <w:rsid w:val="17264D3F"/>
    <w:rsid w:val="37152B9F"/>
    <w:rsid w:val="3EC73A36"/>
    <w:rsid w:val="6CAE6586"/>
    <w:rsid w:val="6FBD492E"/>
    <w:rsid w:val="7E6671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496</Words>
  <Characters>729</Characters>
  <Lines>6</Lines>
  <Paragraphs>1</Paragraphs>
  <TotalTime>0</TotalTime>
  <ScaleCrop>false</ScaleCrop>
  <LinksUpToDate>false</LinksUpToDate>
  <CharactersWithSpaces>729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hww</dc:creator>
  <cp:lastModifiedBy>WPS_1472794959</cp:lastModifiedBy>
  <cp:lastPrinted>2025-11-24T09:25:00Z</cp:lastPrinted>
  <dcterms:modified xsi:type="dcterms:W3CDTF">2025-11-26T00:58:02Z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eyJoZGlkIjoiMTFkMTg0ZjY3ZDc5NzI0MzBiNTkzYTVkOTk5N2E2NDQiLCJ1c2VySWQiOiIyMzgxNzgwMDcifQ==</vt:lpwstr>
  </property>
  <property fmtid="{D5CDD505-2E9C-101B-9397-08002B2CF9AE}" pid="4" name="ICV">
    <vt:lpwstr>381A54D3BD514D878538BCAD317C6EA9_12</vt:lpwstr>
  </property>
</Properties>
</file>